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DB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第三届（2025）“十大科技金融事件”与“十大数字金融事件”征集</w:t>
      </w:r>
    </w:p>
    <w:p w14:paraId="51838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30D24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申报细则</w:t>
      </w:r>
    </w:p>
    <w:p w14:paraId="0E0C6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F4516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两大主榜单</w:t>
      </w:r>
    </w:p>
    <w:p w14:paraId="5A11A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20EFDD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1.十大科技金融事件</w:t>
      </w:r>
    </w:p>
    <w:p w14:paraId="08D1632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85FF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申报范围聚焦：</w:t>
      </w:r>
    </w:p>
    <w:p w14:paraId="07A37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（1）赋能场景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：重点考察服务于科技型企业（特别是初创期、成长期）、国家重大科技项目、前沿基础研究及未来产业的金融实践。</w:t>
      </w:r>
    </w:p>
    <w:p w14:paraId="43993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（2）核心模式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：包括但不限于：</w:t>
      </w:r>
    </w:p>
    <w:p w14:paraId="2CFA1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股权融资创新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：如投早、投小、投硬科技的创投风投新模式；科技成果转化基金、概念验证基金的设立与运作。</w:t>
      </w:r>
    </w:p>
    <w:p w14:paraId="2D4D9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债权服务突破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：如基于知识产权质押、研发能力信用评估的专项信贷产品；“投资联动”等综合金融服务模式。</w:t>
      </w:r>
    </w:p>
    <w:p w14:paraId="5BBFE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资本市场赋能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：如服务科技企业上市、再融资、并购重组的创新金融工具；科创债券、科技创新公司债等产品的设计与发行。</w:t>
      </w:r>
    </w:p>
    <w:p w14:paraId="01642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保险保障探索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：如研发中断险、首台（套）重大技术装备保险等科技保险产品。</w:t>
      </w:r>
    </w:p>
    <w:p w14:paraId="67D7A2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关键价值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：申报事件应体现金融资源对科技创新关键环节的精准滴灌，有效解决科技企业融资难、融资贵问题，或在支持高水平科技自立自强、培育新质生产力方面取得显著、可验证的成效。</w:t>
      </w:r>
    </w:p>
    <w:p w14:paraId="0E1EBA1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46CF50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2.十大数字金融事件</w:t>
      </w:r>
    </w:p>
    <w:p w14:paraId="0B9C14D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72D4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申报范围聚焦：</w:t>
      </w:r>
    </w:p>
    <w:p w14:paraId="60BC4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（1）技术驱动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：重点考察人工智能、区块链、云计算、大数据、物联网等数字技术在金融领域的深度、融合应用。</w:t>
      </w:r>
    </w:p>
    <w:p w14:paraId="0D3C6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（2）场景创新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：包括但不限于：</w:t>
      </w:r>
    </w:p>
    <w:p w14:paraId="3F59AD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业务智能化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：智能投顾、智能风控、智能营销、智能客服的突破性应用。</w:t>
      </w:r>
    </w:p>
    <w:p w14:paraId="6C94C7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支付清算数字化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：数字人民币创新场景、跨境数字支付、全链路支付解决方案。</w:t>
      </w:r>
    </w:p>
    <w:p w14:paraId="10224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基础设施现代化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：核心系统分布式改造、云原生架构转型、数据中台赋能业务等。</w:t>
      </w:r>
    </w:p>
    <w:p w14:paraId="16737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普惠金融深化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：基于大数据画像的精准信用服务，扩大对小微、三农、新市民等群体的服务覆盖。</w:t>
      </w:r>
    </w:p>
    <w:p w14:paraId="7645C1D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关键价值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：申报事件应在技术应用的深度、广度或融合度上具有行业引领性，显著提升了金融服务的效率、体验、可获得性或风险管控能力。</w:t>
      </w:r>
    </w:p>
    <w:p w14:paraId="390D873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9357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二、一大特色榜单</w:t>
      </w:r>
    </w:p>
    <w:p w14:paraId="5425D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E237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3.“数据要素×金融服务” 上海示范案例</w:t>
      </w:r>
    </w:p>
    <w:p w14:paraId="6C79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BE5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申报案例需严格符合以下范围要求：</w:t>
      </w:r>
    </w:p>
    <w:p w14:paraId="1F3BE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（1）地域、主体与关联性要求</w:t>
      </w:r>
    </w:p>
    <w:p w14:paraId="40C6F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为充分体现上海的开放枢纽功能与创新实践沃土价值，本榜单对申报案例的地域属性要求如下：</w:t>
      </w:r>
    </w:p>
    <w:p w14:paraId="66401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核心实践地要求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：案例的核心创新场景、主要落地应用及价值实现须发生在上海市行政区域内。</w:t>
      </w:r>
    </w:p>
    <w:p w14:paraId="7825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申报主体要求（符合以下任一条件即可）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148B009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主导方为在沪机构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：案例的牵头实施单位（如金融机构、科技企业、数据交易所等）其主营业务所在地或核心研发运营中心位于上海；</w:t>
      </w:r>
    </w:p>
    <w:p w14:paraId="3910C34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合作共创的跨区域项目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：由非在沪机构牵头的跨区域合作项目，必须满足以下全部条件：</w:t>
      </w:r>
    </w:p>
    <w:p w14:paraId="45025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上海本地必有深度合作方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：拥有至少一家主营业务地在上海的实体机构作为核心联合实施方，并在申报材料中明确其关键贡献。</w:t>
      </w:r>
    </w:p>
    <w:p w14:paraId="19D31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核心资源投入在上海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：项目的主要技术研发团队、数据运营团队或专项服务团队须常驻上海，或项目的关键数据基础设施、算力平台等核心资源部署于上海。</w:t>
      </w:r>
    </w:p>
    <w:p w14:paraId="09036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价值主要释放在上海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：项目产生的可量化业务成效、服务的企业或个人客户主体应主要以上海为主。</w:t>
      </w:r>
    </w:p>
    <w:p w14:paraId="054F7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1FAF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鼓励申报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：特别鼓励长三角区域及全国范围内的领先机构，携其领先的技术、模式与上海本地场景、机构深度融合产生的创新案例进行申报。</w:t>
      </w:r>
    </w:p>
    <w:p w14:paraId="62AD6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E9B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（2）核心定义内涵</w:t>
      </w:r>
    </w:p>
    <w:p w14:paraId="14DCE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申报案例必须是“数据要素”与“金融服务”深度融合的创新实践，须清晰展现数据如何作为关键生产要素，在金融业务的全链条中创造可验证、可衡量的新价值。其核心特征应包括：</w:t>
      </w:r>
    </w:p>
    <w:p w14:paraId="6A6F4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数据驱动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：以合规获取和加工处理的高价值数据（公共数据、产业数据、金融数据等）为核心驱动力。</w:t>
      </w:r>
    </w:p>
    <w:p w14:paraId="731E1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场景明确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：解决金融业在信贷风控、资产定价、精准营销、合规科技、普惠金融、绿色金融、供应链金融、金融市场交易等具体业务场景中的真实痛点。</w:t>
      </w:r>
    </w:p>
    <w:p w14:paraId="4EA77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价值闭环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：实现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业务增效（如提升效率、降低成本）、风险可控（如优化模型、防范欺诈）或模式创新（如创造新产品、新服务），并具备可量化的成效证据。</w:t>
      </w:r>
    </w:p>
    <w:p w14:paraId="09D3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上海特色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：充分依托或对接上海数据交易所等本地数据基础设施，或积极响应了上海市在数据要素市场化、产业数字化转型等方面的特定政策与战略规划。</w:t>
      </w:r>
    </w:p>
    <w:p w14:paraId="4D345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AF73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（3）重点征集方向（包括但不限于）</w:t>
      </w:r>
    </w:p>
    <w:p w14:paraId="46786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数据资产化金融实践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：数据资源确权、评估、入表，并成功应用于融资、质押、保险或资产交易。</w:t>
      </w:r>
    </w:p>
    <w:p w14:paraId="07C2E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公共数据授权运营金融应用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：基于上海市公共数据开放授权机制，开发的普惠信贷、企业信用评价、反欺诈等创新产品。</w:t>
      </w:r>
    </w:p>
    <w:p w14:paraId="3CDD0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数据技术融合创新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：运用隐私计算、区块链、人工智能大模型等技术，实现数据“可用不可见”，破解金融场景中的数据孤岛与安全流动难题。</w:t>
      </w:r>
    </w:p>
    <w:p w14:paraId="2DC84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跨境数据流动金融试点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：在合规框架下，服务于跨境贸易、投融资便利化的数据跨境安全流动解决方案。</w:t>
      </w:r>
    </w:p>
    <w:p w14:paraId="03433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产业数据价值化金融赋能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：基于特定产业链/产业集群（如集成电路、生物医药）的数据协同，创新推出的供应链金融、设备融资租赁等解决方案。</w:t>
      </w:r>
    </w:p>
    <w:p w14:paraId="41DC7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95E9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（4）示范性要求</w:t>
      </w:r>
    </w:p>
    <w:p w14:paraId="68E0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案例应具备明确的创新性、成熟的落地性、可靠的安全合规性，以及在上海市乃至全国同类机构或场景中可复制、可推广的潜力，能够为行业提供清晰的参考路径。</w:t>
      </w:r>
    </w:p>
    <w:p w14:paraId="21CD7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3F7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三、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两大专项榜单</w:t>
      </w:r>
    </w:p>
    <w:p w14:paraId="6F326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648CAE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4.年度技术创新突破</w:t>
      </w:r>
    </w:p>
    <w:p w14:paraId="587E25B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88D6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申报范围聚焦：</w:t>
      </w:r>
    </w:p>
    <w:p w14:paraId="3CE6B90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技术领域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：严格限定于人工智能大模型（AIGC）、区块链、隐私计算（多方安全计算、联邦学习等）、量子计算、生物识别等前沿、底层技术。</w:t>
      </w:r>
    </w:p>
    <w:p w14:paraId="689D46E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A11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（2）突破标准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：申报项目必须证明其技术先进性与行业壁垒，例如：</w:t>
      </w:r>
    </w:p>
    <w:p w14:paraId="24BD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性能领先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：在关键算法、算力效率、安全级别等方面，有公开或第三方验证的量化指标超越行业现有主流方案。</w:t>
      </w:r>
    </w:p>
    <w:p w14:paraId="5F6A2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自主可控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：在核心技术或关键组件上实现自主知识产权，并已实际部署应用。</w:t>
      </w:r>
    </w:p>
    <w:p w14:paraId="4703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解决根本性难题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：有效解决了长期存在的金融行业技术痛点（如数据孤岛、交易信任、反欺诈精度等）。</w:t>
      </w:r>
    </w:p>
    <w:p w14:paraId="1ADC9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64CE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（3）应用验证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：技术必须在真实的金融业务场景中完成概念验证（PoC）或已投入生产应用，并产生可验证的初步效果。</w:t>
      </w:r>
    </w:p>
    <w:p w14:paraId="194A8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3E8D66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5.年度产业赋能典范</w:t>
      </w:r>
    </w:p>
    <w:p w14:paraId="09EB6E6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F2D2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申报范围聚焦：</w:t>
      </w:r>
    </w:p>
    <w:p w14:paraId="00880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（1）服务靶向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：明确服务于某一具体重点产业（如集成电路、生物医药、高端制造、绿色能源）或产业链/供应链。</w:t>
      </w:r>
    </w:p>
    <w:p w14:paraId="3582AA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（2）模式深度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：金融服务需深度嵌入产业场景，体现对产业规律的理解，模式包括：</w:t>
      </w:r>
    </w:p>
    <w:p w14:paraId="0E716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产业链金融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：基于真实贸易背景和数据，为核心企业上下游提供一体化金融解决方案。</w:t>
      </w:r>
    </w:p>
    <w:p w14:paraId="4B50F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产业集群服务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：为园区内或某一地域聚集的产业生态提供定制化、批量化的金融产品包。</w:t>
      </w:r>
    </w:p>
    <w:p w14:paraId="65F15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“科技-产业-金融”循环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：通过金融手段，有效促进科技成果在特定产业内转化、落地和规模化。</w:t>
      </w:r>
    </w:p>
    <w:p w14:paraId="3C894E3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成效要求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：必须提供量化证据证明其赋能成效，如服务企业数量、降低产业链整体融资成本、促进产业投资规模、稳定供应链等具体数据和案例。</w:t>
      </w:r>
    </w:p>
    <w:p w14:paraId="7D0AA8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09228"/>
    <w:multiLevelType w:val="singleLevel"/>
    <w:tmpl w:val="82C0922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8E171FB4"/>
    <w:multiLevelType w:val="singleLevel"/>
    <w:tmpl w:val="8E171FB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E51B48BA"/>
    <w:multiLevelType w:val="singleLevel"/>
    <w:tmpl w:val="E51B48BA"/>
    <w:lvl w:ilvl="0" w:tentative="0">
      <w:start w:val="3"/>
      <w:numFmt w:val="decimal"/>
      <w:suff w:val="nothing"/>
      <w:lvlText w:val="（%1）"/>
      <w:lvlJc w:val="left"/>
    </w:lvl>
  </w:abstractNum>
  <w:abstractNum w:abstractNumId="3">
    <w:nsid w:val="3CA04AF9"/>
    <w:multiLevelType w:val="singleLevel"/>
    <w:tmpl w:val="3CA04A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114F32D"/>
    <w:multiLevelType w:val="singleLevel"/>
    <w:tmpl w:val="5114F32D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51B4"/>
    <w:rsid w:val="07BB058C"/>
    <w:rsid w:val="087B7D1C"/>
    <w:rsid w:val="157224A6"/>
    <w:rsid w:val="16331C36"/>
    <w:rsid w:val="2100305C"/>
    <w:rsid w:val="235235EF"/>
    <w:rsid w:val="23671171"/>
    <w:rsid w:val="39C944DB"/>
    <w:rsid w:val="39E44E71"/>
    <w:rsid w:val="3C44771B"/>
    <w:rsid w:val="400B3AB4"/>
    <w:rsid w:val="48311BC9"/>
    <w:rsid w:val="4A6D1BB5"/>
    <w:rsid w:val="504F0E3F"/>
    <w:rsid w:val="550541C2"/>
    <w:rsid w:val="610417D1"/>
    <w:rsid w:val="716A659A"/>
    <w:rsid w:val="75D05CCE"/>
    <w:rsid w:val="7AAA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2026-01-04T08:23:13Z</dcterms:created>
  <dc:creator>Administrator</dc:creator>
  <cp:lastModifiedBy>万丽霞</cp:lastModifiedBy>
  <dcterms:modified xsi:type="dcterms:W3CDTF">2026-01-04T08:35:29Z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eyJoZGlkIjoiZmEwMjg4ZGFlOTExNzVjMDc5NTJkOTZiMmI3Y2E2NDUiLCJ1c2VySWQiOiIzNzIwNzk3MDUifQ==</vt:lpwstr>
  </property>
  <property fmtid="{D5CDD505-2E9C-101B-9397-08002B2CF9AE}" pid="4" name="ICV">
    <vt:lpwstr>BF4DB23DEB1A48DE89EF98E2C4F3E6B5_12</vt:lpwstr>
  </property>
</Properties>
</file>